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BE7" w:rsidRDefault="00261BE7" w:rsidP="00261BE7">
      <w:pPr>
        <w:jc w:val="center"/>
        <w:rPr>
          <w:b/>
          <w:u w:val="single"/>
        </w:rPr>
      </w:pPr>
    </w:p>
    <w:p w:rsidR="00261BE7" w:rsidRPr="00261BE7" w:rsidRDefault="0028015B" w:rsidP="00261BE7">
      <w:pPr>
        <w:jc w:val="center"/>
        <w:rPr>
          <w:b/>
          <w:sz w:val="24"/>
          <w:szCs w:val="24"/>
          <w:u w:val="single"/>
        </w:rPr>
      </w:pPr>
      <w:r>
        <w:rPr>
          <w:b/>
          <w:sz w:val="24"/>
          <w:szCs w:val="24"/>
          <w:u w:val="single"/>
        </w:rPr>
        <w:t>MINUTA EXPLICATIVA</w:t>
      </w:r>
    </w:p>
    <w:p w:rsidR="00221AF0" w:rsidRDefault="008203EC" w:rsidP="008203EC">
      <w:pPr>
        <w:jc w:val="center"/>
        <w:rPr>
          <w:b/>
          <w:sz w:val="24"/>
          <w:szCs w:val="24"/>
          <w:u w:val="single"/>
        </w:rPr>
      </w:pPr>
      <w:r>
        <w:rPr>
          <w:b/>
          <w:sz w:val="24"/>
          <w:szCs w:val="24"/>
          <w:u w:val="single"/>
        </w:rPr>
        <w:t>12.2 Estudio de Programaciones de Semáforos</w:t>
      </w:r>
    </w:p>
    <w:p w:rsidR="0028015B" w:rsidRDefault="0028015B" w:rsidP="00261BE7">
      <w:pPr>
        <w:jc w:val="center"/>
        <w:rPr>
          <w:b/>
          <w:sz w:val="24"/>
          <w:szCs w:val="24"/>
          <w:u w:val="single"/>
        </w:rPr>
      </w:pPr>
    </w:p>
    <w:p w:rsidR="0028015B" w:rsidRPr="00B83F4C" w:rsidRDefault="0028015B" w:rsidP="0028015B">
      <w:pPr>
        <w:jc w:val="both"/>
        <w:rPr>
          <w:b/>
          <w:sz w:val="24"/>
          <w:szCs w:val="24"/>
        </w:rPr>
      </w:pPr>
      <w:r w:rsidRPr="00B83F4C">
        <w:rPr>
          <w:b/>
          <w:sz w:val="24"/>
          <w:szCs w:val="24"/>
        </w:rPr>
        <w:t>1.- Introducción</w:t>
      </w:r>
    </w:p>
    <w:p w:rsidR="0028015B" w:rsidRPr="00B83F4C" w:rsidRDefault="0028015B" w:rsidP="0028015B">
      <w:pPr>
        <w:jc w:val="both"/>
        <w:rPr>
          <w:sz w:val="24"/>
          <w:szCs w:val="24"/>
        </w:rPr>
      </w:pPr>
      <w:r w:rsidRPr="00B83F4C">
        <w:rPr>
          <w:sz w:val="24"/>
          <w:szCs w:val="24"/>
        </w:rPr>
        <w:t xml:space="preserve">El presente documento explica las acciones realizadas para dar cumplimiento </w:t>
      </w:r>
      <w:r w:rsidR="008203EC">
        <w:rPr>
          <w:sz w:val="24"/>
          <w:szCs w:val="24"/>
        </w:rPr>
        <w:t>al</w:t>
      </w:r>
      <w:r w:rsidRPr="00B83F4C">
        <w:rPr>
          <w:sz w:val="24"/>
          <w:szCs w:val="24"/>
        </w:rPr>
        <w:t xml:space="preserve"> compromiso voluntario identificados como </w:t>
      </w:r>
      <w:r w:rsidR="008203EC">
        <w:rPr>
          <w:b/>
          <w:sz w:val="24"/>
          <w:szCs w:val="24"/>
        </w:rPr>
        <w:t>12.2</w:t>
      </w:r>
      <w:r w:rsidRPr="00B83F4C">
        <w:rPr>
          <w:b/>
          <w:sz w:val="24"/>
          <w:szCs w:val="24"/>
        </w:rPr>
        <w:t xml:space="preserve"> </w:t>
      </w:r>
      <w:r w:rsidR="008203EC">
        <w:rPr>
          <w:b/>
          <w:sz w:val="24"/>
          <w:szCs w:val="24"/>
        </w:rPr>
        <w:t>Estudio de Programaciones de Semáforos</w:t>
      </w:r>
      <w:r w:rsidRPr="00B83F4C">
        <w:rPr>
          <w:sz w:val="24"/>
          <w:szCs w:val="24"/>
        </w:rPr>
        <w:t xml:space="preserve">; </w:t>
      </w:r>
      <w:r w:rsidR="008203EC">
        <w:rPr>
          <w:sz w:val="24"/>
          <w:szCs w:val="24"/>
        </w:rPr>
        <w:t>establecido</w:t>
      </w:r>
      <w:r w:rsidRPr="00B83F4C">
        <w:rPr>
          <w:sz w:val="24"/>
          <w:szCs w:val="24"/>
        </w:rPr>
        <w:t xml:space="preserve"> en la RCA Nº 71 de mayo de 2020.</w:t>
      </w:r>
    </w:p>
    <w:p w:rsidR="0028015B" w:rsidRPr="00B83F4C" w:rsidRDefault="0028015B" w:rsidP="0028015B">
      <w:pPr>
        <w:jc w:val="both"/>
        <w:rPr>
          <w:sz w:val="24"/>
          <w:szCs w:val="24"/>
        </w:rPr>
      </w:pPr>
    </w:p>
    <w:p w:rsidR="00B83F4C" w:rsidRPr="00B83F4C" w:rsidRDefault="00B83F4C" w:rsidP="0028015B">
      <w:pPr>
        <w:jc w:val="both"/>
        <w:rPr>
          <w:b/>
          <w:sz w:val="24"/>
          <w:szCs w:val="24"/>
        </w:rPr>
      </w:pPr>
      <w:r w:rsidRPr="00B83F4C">
        <w:rPr>
          <w:b/>
          <w:sz w:val="24"/>
          <w:szCs w:val="24"/>
        </w:rPr>
        <w:t>2.- Nomenclatura</w:t>
      </w:r>
    </w:p>
    <w:p w:rsidR="00B83F4C" w:rsidRDefault="00B83F4C" w:rsidP="0028015B">
      <w:pPr>
        <w:jc w:val="both"/>
        <w:rPr>
          <w:sz w:val="24"/>
          <w:szCs w:val="24"/>
        </w:rPr>
      </w:pPr>
      <w:r w:rsidRPr="00B83F4C">
        <w:rPr>
          <w:sz w:val="24"/>
          <w:szCs w:val="24"/>
        </w:rPr>
        <w:t>UOCT: Unidad operativa de control de tránsito</w:t>
      </w:r>
    </w:p>
    <w:p w:rsidR="008203EC" w:rsidRPr="00B83F4C" w:rsidRDefault="008203EC" w:rsidP="0028015B">
      <w:pPr>
        <w:jc w:val="both"/>
        <w:rPr>
          <w:sz w:val="24"/>
          <w:szCs w:val="24"/>
        </w:rPr>
      </w:pPr>
      <w:r>
        <w:rPr>
          <w:sz w:val="24"/>
          <w:szCs w:val="24"/>
        </w:rPr>
        <w:t xml:space="preserve">SEREMITT: </w:t>
      </w:r>
      <w:r w:rsidRPr="008203EC">
        <w:rPr>
          <w:sz w:val="24"/>
          <w:szCs w:val="24"/>
        </w:rPr>
        <w:t>Secretaría</w:t>
      </w:r>
      <w:r>
        <w:rPr>
          <w:sz w:val="24"/>
          <w:szCs w:val="24"/>
        </w:rPr>
        <w:t xml:space="preserve"> Regional Ministerial</w:t>
      </w:r>
      <w:r w:rsidRPr="008203EC">
        <w:rPr>
          <w:sz w:val="24"/>
          <w:szCs w:val="24"/>
        </w:rPr>
        <w:t xml:space="preserve"> de Transportes y Telecomunicaciones</w:t>
      </w:r>
    </w:p>
    <w:p w:rsidR="00B83F4C" w:rsidRPr="00B83F4C" w:rsidRDefault="00B83F4C" w:rsidP="0028015B">
      <w:pPr>
        <w:jc w:val="both"/>
        <w:rPr>
          <w:sz w:val="24"/>
          <w:szCs w:val="24"/>
        </w:rPr>
      </w:pPr>
      <w:r w:rsidRPr="00B83F4C">
        <w:rPr>
          <w:sz w:val="24"/>
          <w:szCs w:val="24"/>
        </w:rPr>
        <w:t>SERVIU: Servicio de vivienda y urbanismo</w:t>
      </w:r>
    </w:p>
    <w:p w:rsidR="00B83F4C" w:rsidRPr="00B83F4C" w:rsidRDefault="00B83F4C" w:rsidP="0028015B">
      <w:pPr>
        <w:jc w:val="both"/>
        <w:rPr>
          <w:sz w:val="24"/>
          <w:szCs w:val="24"/>
        </w:rPr>
      </w:pPr>
      <w:r w:rsidRPr="00B83F4C">
        <w:rPr>
          <w:sz w:val="24"/>
          <w:szCs w:val="24"/>
        </w:rPr>
        <w:t>DV-MOP: Dirección de Vialidad, Ministerio de Obras Públicas</w:t>
      </w:r>
    </w:p>
    <w:p w:rsidR="00B83F4C" w:rsidRPr="00B83F4C" w:rsidRDefault="00B83F4C" w:rsidP="0028015B">
      <w:pPr>
        <w:jc w:val="both"/>
        <w:rPr>
          <w:sz w:val="24"/>
          <w:szCs w:val="24"/>
        </w:rPr>
      </w:pPr>
      <w:r w:rsidRPr="00B83F4C">
        <w:rPr>
          <w:sz w:val="24"/>
          <w:szCs w:val="24"/>
        </w:rPr>
        <w:t>DT-IMC: Dirección de Tránsito, Ilustre Municipalidad de Coquimbo</w:t>
      </w:r>
    </w:p>
    <w:p w:rsidR="00B83F4C" w:rsidRPr="00B83F4C" w:rsidRDefault="00B403C0" w:rsidP="0028015B">
      <w:pPr>
        <w:jc w:val="both"/>
        <w:rPr>
          <w:sz w:val="24"/>
          <w:szCs w:val="24"/>
        </w:rPr>
      </w:pPr>
      <w:r w:rsidRPr="00B403C0">
        <w:rPr>
          <w:sz w:val="24"/>
          <w:szCs w:val="24"/>
        </w:rPr>
        <w:t>BRAESS</w:t>
      </w:r>
      <w:r w:rsidR="00B83F4C" w:rsidRPr="00B403C0">
        <w:rPr>
          <w:sz w:val="24"/>
          <w:szCs w:val="24"/>
        </w:rPr>
        <w:t>: Empresa</w:t>
      </w:r>
      <w:r w:rsidR="00B83F4C" w:rsidRPr="00B83F4C">
        <w:rPr>
          <w:sz w:val="24"/>
          <w:szCs w:val="24"/>
        </w:rPr>
        <w:t xml:space="preserve"> de ingeniería</w:t>
      </w:r>
    </w:p>
    <w:p w:rsidR="00B83F4C" w:rsidRPr="00B83F4C" w:rsidRDefault="00B83F4C" w:rsidP="0028015B">
      <w:pPr>
        <w:jc w:val="both"/>
        <w:rPr>
          <w:sz w:val="24"/>
          <w:szCs w:val="24"/>
        </w:rPr>
      </w:pPr>
      <w:r w:rsidRPr="00B83F4C">
        <w:rPr>
          <w:sz w:val="24"/>
          <w:szCs w:val="24"/>
        </w:rPr>
        <w:t>TPC: Terminal Puerto de Coquimbo</w:t>
      </w:r>
    </w:p>
    <w:p w:rsidR="00B83F4C" w:rsidRPr="00B83F4C" w:rsidRDefault="00B83F4C" w:rsidP="0028015B">
      <w:pPr>
        <w:jc w:val="both"/>
        <w:rPr>
          <w:b/>
          <w:sz w:val="24"/>
          <w:szCs w:val="24"/>
        </w:rPr>
      </w:pPr>
    </w:p>
    <w:p w:rsidR="0028015B" w:rsidRPr="00B83F4C" w:rsidRDefault="00B83F4C" w:rsidP="0028015B">
      <w:pPr>
        <w:jc w:val="both"/>
        <w:rPr>
          <w:b/>
          <w:sz w:val="24"/>
          <w:szCs w:val="24"/>
        </w:rPr>
      </w:pPr>
      <w:r w:rsidRPr="00B83F4C">
        <w:rPr>
          <w:b/>
          <w:sz w:val="24"/>
          <w:szCs w:val="24"/>
        </w:rPr>
        <w:t>3</w:t>
      </w:r>
      <w:r w:rsidR="0028015B" w:rsidRPr="00B83F4C">
        <w:rPr>
          <w:b/>
          <w:sz w:val="24"/>
          <w:szCs w:val="24"/>
        </w:rPr>
        <w:t xml:space="preserve">.- </w:t>
      </w:r>
      <w:r w:rsidR="006E4A7B" w:rsidRPr="00B83F4C">
        <w:rPr>
          <w:b/>
          <w:sz w:val="24"/>
          <w:szCs w:val="24"/>
        </w:rPr>
        <w:t>Comunicaciones</w:t>
      </w:r>
    </w:p>
    <w:p w:rsidR="006E4A7B" w:rsidRPr="00B83F4C" w:rsidRDefault="006E4A7B" w:rsidP="0028015B">
      <w:pPr>
        <w:jc w:val="both"/>
        <w:rPr>
          <w:sz w:val="24"/>
          <w:szCs w:val="24"/>
        </w:rPr>
      </w:pPr>
      <w:r w:rsidRPr="00B83F4C">
        <w:rPr>
          <w:sz w:val="24"/>
          <w:szCs w:val="24"/>
        </w:rPr>
        <w:t xml:space="preserve">Desde el mes de junio a agosto de 2020, se dio inicio la etapa de licitación para </w:t>
      </w:r>
      <w:r w:rsidR="00B05913">
        <w:rPr>
          <w:sz w:val="24"/>
          <w:szCs w:val="24"/>
        </w:rPr>
        <w:t xml:space="preserve">el </w:t>
      </w:r>
      <w:r w:rsidRPr="00B83F4C">
        <w:rPr>
          <w:sz w:val="24"/>
          <w:szCs w:val="24"/>
        </w:rPr>
        <w:t>estudio referido</w:t>
      </w:r>
      <w:r w:rsidR="00B05913">
        <w:rPr>
          <w:sz w:val="24"/>
          <w:szCs w:val="24"/>
        </w:rPr>
        <w:t xml:space="preserve"> a compromiso</w:t>
      </w:r>
      <w:r w:rsidRPr="00B83F4C">
        <w:rPr>
          <w:sz w:val="24"/>
          <w:szCs w:val="24"/>
        </w:rPr>
        <w:t xml:space="preserve"> voluntario 12.</w:t>
      </w:r>
      <w:r w:rsidR="00B05913">
        <w:rPr>
          <w:sz w:val="24"/>
          <w:szCs w:val="24"/>
        </w:rPr>
        <w:t>2</w:t>
      </w:r>
      <w:r w:rsidRPr="00B83F4C">
        <w:rPr>
          <w:sz w:val="24"/>
          <w:szCs w:val="24"/>
        </w:rPr>
        <w:t xml:space="preserve">. </w:t>
      </w:r>
    </w:p>
    <w:p w:rsidR="00B05913" w:rsidRDefault="00136BC5" w:rsidP="0028015B">
      <w:pPr>
        <w:jc w:val="both"/>
        <w:rPr>
          <w:sz w:val="24"/>
          <w:szCs w:val="24"/>
        </w:rPr>
      </w:pPr>
      <w:r w:rsidRPr="00B83F4C">
        <w:rPr>
          <w:sz w:val="24"/>
          <w:szCs w:val="24"/>
        </w:rPr>
        <w:t>El proceso concluyó adjudicando los estudios a la empresa BR</w:t>
      </w:r>
      <w:r w:rsidR="00B05913">
        <w:rPr>
          <w:sz w:val="24"/>
          <w:szCs w:val="24"/>
        </w:rPr>
        <w:t>AESS Consultorías SpA.</w:t>
      </w:r>
    </w:p>
    <w:p w:rsidR="0028015B" w:rsidRPr="00B83F4C" w:rsidRDefault="00B83F4C" w:rsidP="0028015B">
      <w:pPr>
        <w:jc w:val="both"/>
        <w:rPr>
          <w:sz w:val="24"/>
          <w:szCs w:val="24"/>
        </w:rPr>
      </w:pPr>
      <w:r w:rsidRPr="00B83F4C">
        <w:rPr>
          <w:sz w:val="24"/>
          <w:szCs w:val="24"/>
        </w:rPr>
        <w:t>A principio del mes de</w:t>
      </w:r>
      <w:r w:rsidR="00136BC5" w:rsidRPr="00B83F4C">
        <w:rPr>
          <w:sz w:val="24"/>
          <w:szCs w:val="24"/>
        </w:rPr>
        <w:t xml:space="preserve"> septiembre de 2020, se informa a </w:t>
      </w:r>
      <w:r w:rsidRPr="00B83F4C">
        <w:rPr>
          <w:sz w:val="24"/>
          <w:szCs w:val="24"/>
        </w:rPr>
        <w:t xml:space="preserve">los </w:t>
      </w:r>
      <w:r w:rsidR="00136BC5" w:rsidRPr="00B83F4C">
        <w:rPr>
          <w:sz w:val="24"/>
          <w:szCs w:val="24"/>
        </w:rPr>
        <w:t xml:space="preserve">servicios públicos </w:t>
      </w:r>
      <w:r w:rsidRPr="00B83F4C">
        <w:rPr>
          <w:sz w:val="24"/>
          <w:szCs w:val="24"/>
        </w:rPr>
        <w:t xml:space="preserve">el inicio de los estudios de ingeniería </w:t>
      </w:r>
      <w:r w:rsidR="00136BC5" w:rsidRPr="00B83F4C">
        <w:rPr>
          <w:sz w:val="24"/>
          <w:szCs w:val="24"/>
        </w:rPr>
        <w:t xml:space="preserve">relacionados con </w:t>
      </w:r>
      <w:r w:rsidRPr="00B83F4C">
        <w:rPr>
          <w:sz w:val="24"/>
          <w:szCs w:val="24"/>
        </w:rPr>
        <w:t>compromiso voluntario 12.</w:t>
      </w:r>
      <w:r w:rsidR="00B05913">
        <w:rPr>
          <w:sz w:val="24"/>
          <w:szCs w:val="24"/>
        </w:rPr>
        <w:t>2</w:t>
      </w:r>
      <w:r w:rsidRPr="00B83F4C">
        <w:rPr>
          <w:sz w:val="24"/>
          <w:szCs w:val="24"/>
        </w:rPr>
        <w:t>.</w:t>
      </w:r>
    </w:p>
    <w:p w:rsidR="00B05913" w:rsidRDefault="00B05913" w:rsidP="00B05913">
      <w:pPr>
        <w:jc w:val="both"/>
        <w:rPr>
          <w:sz w:val="24"/>
          <w:szCs w:val="24"/>
        </w:rPr>
      </w:pPr>
      <w:r>
        <w:rPr>
          <w:sz w:val="24"/>
          <w:szCs w:val="24"/>
        </w:rPr>
        <w:t>Desde septiembre de 2020</w:t>
      </w:r>
      <w:r w:rsidR="00B83F4C">
        <w:rPr>
          <w:sz w:val="24"/>
          <w:szCs w:val="24"/>
        </w:rPr>
        <w:t xml:space="preserve">, se desarrollan los estudios de </w:t>
      </w:r>
      <w:r>
        <w:rPr>
          <w:sz w:val="24"/>
          <w:szCs w:val="24"/>
        </w:rPr>
        <w:t>semáforos</w:t>
      </w:r>
      <w:r w:rsidR="00B83F4C">
        <w:rPr>
          <w:sz w:val="24"/>
          <w:szCs w:val="24"/>
        </w:rPr>
        <w:t xml:space="preserve">, obteniéndose </w:t>
      </w:r>
      <w:r>
        <w:rPr>
          <w:sz w:val="24"/>
          <w:szCs w:val="24"/>
        </w:rPr>
        <w:t>las siguientes aprobaciones por parte de la UOCT:</w:t>
      </w:r>
    </w:p>
    <w:p w:rsidR="00B05913" w:rsidRDefault="000B0B14" w:rsidP="00B05913">
      <w:pPr>
        <w:pStyle w:val="Prrafodelista"/>
        <w:numPr>
          <w:ilvl w:val="0"/>
          <w:numId w:val="2"/>
        </w:numPr>
        <w:jc w:val="both"/>
        <w:rPr>
          <w:sz w:val="24"/>
          <w:szCs w:val="24"/>
        </w:rPr>
      </w:pPr>
      <w:r>
        <w:rPr>
          <w:sz w:val="24"/>
          <w:szCs w:val="24"/>
        </w:rPr>
        <w:t>25</w:t>
      </w:r>
      <w:r w:rsidR="00B05913">
        <w:rPr>
          <w:sz w:val="24"/>
          <w:szCs w:val="24"/>
        </w:rPr>
        <w:t>-1</w:t>
      </w:r>
      <w:r>
        <w:rPr>
          <w:sz w:val="24"/>
          <w:szCs w:val="24"/>
        </w:rPr>
        <w:t>1</w:t>
      </w:r>
      <w:r w:rsidR="00B05913">
        <w:rPr>
          <w:sz w:val="24"/>
          <w:szCs w:val="24"/>
        </w:rPr>
        <w:t xml:space="preserve">-2020: Aprueba </w:t>
      </w:r>
      <w:r>
        <w:rPr>
          <w:sz w:val="24"/>
          <w:szCs w:val="24"/>
        </w:rPr>
        <w:t>Estudio época normal</w:t>
      </w:r>
    </w:p>
    <w:p w:rsidR="000B0B14" w:rsidRDefault="000B0B14" w:rsidP="00B05913">
      <w:pPr>
        <w:pStyle w:val="Prrafodelista"/>
        <w:numPr>
          <w:ilvl w:val="0"/>
          <w:numId w:val="2"/>
        </w:numPr>
        <w:jc w:val="both"/>
        <w:rPr>
          <w:sz w:val="24"/>
          <w:szCs w:val="24"/>
        </w:rPr>
      </w:pPr>
      <w:r>
        <w:rPr>
          <w:sz w:val="24"/>
          <w:szCs w:val="24"/>
        </w:rPr>
        <w:t>4-12-2020: Aprueba Informe de Sintonía Fina</w:t>
      </w:r>
    </w:p>
    <w:p w:rsidR="00B05913" w:rsidRDefault="0027739B" w:rsidP="00B05913">
      <w:pPr>
        <w:pStyle w:val="Prrafodelista"/>
        <w:numPr>
          <w:ilvl w:val="0"/>
          <w:numId w:val="2"/>
        </w:numPr>
        <w:jc w:val="both"/>
        <w:rPr>
          <w:sz w:val="24"/>
          <w:szCs w:val="24"/>
        </w:rPr>
      </w:pPr>
      <w:r>
        <w:rPr>
          <w:sz w:val="24"/>
          <w:szCs w:val="24"/>
        </w:rPr>
        <w:t>03-03-2021: Aprueba Estudio época estival</w:t>
      </w:r>
    </w:p>
    <w:p w:rsidR="0027739B" w:rsidRDefault="0027739B" w:rsidP="00B05913">
      <w:pPr>
        <w:pStyle w:val="Prrafodelista"/>
        <w:numPr>
          <w:ilvl w:val="0"/>
          <w:numId w:val="2"/>
        </w:numPr>
        <w:jc w:val="both"/>
        <w:rPr>
          <w:sz w:val="24"/>
          <w:szCs w:val="24"/>
        </w:rPr>
      </w:pPr>
      <w:r>
        <w:rPr>
          <w:sz w:val="24"/>
          <w:szCs w:val="24"/>
        </w:rPr>
        <w:t>06-5-2021: Aprueba Estudio semáforos Costanera-Borgoño</w:t>
      </w:r>
    </w:p>
    <w:p w:rsidR="000B0B14" w:rsidRDefault="000B0B14" w:rsidP="000B0B14">
      <w:pPr>
        <w:pStyle w:val="Prrafodelista"/>
        <w:jc w:val="both"/>
        <w:rPr>
          <w:sz w:val="24"/>
          <w:szCs w:val="24"/>
        </w:rPr>
      </w:pPr>
    </w:p>
    <w:p w:rsidR="00B83F4C" w:rsidRDefault="0027739B" w:rsidP="0027739B">
      <w:pPr>
        <w:jc w:val="both"/>
        <w:rPr>
          <w:sz w:val="24"/>
          <w:szCs w:val="24"/>
        </w:rPr>
      </w:pPr>
      <w:r>
        <w:rPr>
          <w:sz w:val="24"/>
          <w:szCs w:val="24"/>
        </w:rPr>
        <w:t>En el mes de mayo de 2021 se aprobó último estudio de semaforización, lo que dio inicio por parte de la UOCT a la coordinación para realizar programación de controladores de semaforización.</w:t>
      </w:r>
    </w:p>
    <w:p w:rsidR="0004762A" w:rsidRDefault="0004762A" w:rsidP="00B83F4C">
      <w:pPr>
        <w:jc w:val="both"/>
        <w:rPr>
          <w:sz w:val="24"/>
          <w:szCs w:val="24"/>
        </w:rPr>
      </w:pPr>
    </w:p>
    <w:p w:rsidR="0004762A" w:rsidRDefault="0004762A" w:rsidP="00B83F4C">
      <w:pPr>
        <w:jc w:val="both"/>
        <w:rPr>
          <w:b/>
          <w:sz w:val="24"/>
          <w:szCs w:val="24"/>
        </w:rPr>
      </w:pPr>
      <w:r w:rsidRPr="0004762A">
        <w:rPr>
          <w:b/>
          <w:sz w:val="24"/>
          <w:szCs w:val="24"/>
        </w:rPr>
        <w:t>4.- Cronograma</w:t>
      </w:r>
    </w:p>
    <w:p w:rsidR="0004762A" w:rsidRDefault="00170638" w:rsidP="00B83F4C">
      <w:pPr>
        <w:jc w:val="both"/>
        <w:rPr>
          <w:sz w:val="24"/>
          <w:szCs w:val="24"/>
        </w:rPr>
      </w:pPr>
      <w:r w:rsidRPr="00170638">
        <w:rPr>
          <w:noProof/>
          <w:lang w:eastAsia="es-CL"/>
        </w:rPr>
        <w:drawing>
          <wp:inline distT="0" distB="0" distL="0" distR="0">
            <wp:extent cx="5612130" cy="1585851"/>
            <wp:effectExtent l="0" t="0" r="762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1585851"/>
                    </a:xfrm>
                    <a:prstGeom prst="rect">
                      <a:avLst/>
                    </a:prstGeom>
                    <a:noFill/>
                    <a:ln>
                      <a:noFill/>
                    </a:ln>
                  </pic:spPr>
                </pic:pic>
              </a:graphicData>
            </a:graphic>
          </wp:inline>
        </w:drawing>
      </w:r>
    </w:p>
    <w:p w:rsidR="0004762A" w:rsidRDefault="0004762A" w:rsidP="00B83F4C">
      <w:pPr>
        <w:jc w:val="both"/>
        <w:rPr>
          <w:sz w:val="24"/>
          <w:szCs w:val="24"/>
        </w:rPr>
      </w:pPr>
    </w:p>
    <w:p w:rsidR="00D01FC2" w:rsidRDefault="00D01FC2" w:rsidP="00B83F4C">
      <w:pPr>
        <w:jc w:val="both"/>
        <w:rPr>
          <w:b/>
          <w:sz w:val="24"/>
          <w:szCs w:val="24"/>
        </w:rPr>
      </w:pPr>
      <w:r w:rsidRPr="00D01FC2">
        <w:rPr>
          <w:b/>
          <w:sz w:val="24"/>
          <w:szCs w:val="24"/>
        </w:rPr>
        <w:t>5.- Circunstancias</w:t>
      </w:r>
    </w:p>
    <w:p w:rsidR="00797F43" w:rsidRPr="00797F43" w:rsidRDefault="00797F43" w:rsidP="00797F43">
      <w:pPr>
        <w:jc w:val="both"/>
        <w:rPr>
          <w:sz w:val="24"/>
          <w:szCs w:val="24"/>
        </w:rPr>
      </w:pPr>
      <w:r w:rsidRPr="00797F43">
        <w:rPr>
          <w:b/>
          <w:i/>
          <w:sz w:val="24"/>
          <w:szCs w:val="24"/>
        </w:rPr>
        <w:t>1. Estudio de Reprogramación de Semáforos</w:t>
      </w:r>
      <w:r w:rsidRPr="00797F43">
        <w:rPr>
          <w:sz w:val="24"/>
          <w:szCs w:val="24"/>
        </w:rPr>
        <w:t xml:space="preserve">: </w:t>
      </w:r>
      <w:r w:rsidR="00D252E0">
        <w:rPr>
          <w:sz w:val="24"/>
          <w:szCs w:val="24"/>
        </w:rPr>
        <w:t>De acuerdo a lo indicado en RCA, se establece que u</w:t>
      </w:r>
      <w:r w:rsidRPr="00797F43">
        <w:rPr>
          <w:sz w:val="24"/>
          <w:szCs w:val="24"/>
        </w:rPr>
        <w:t xml:space="preserve">na vez obtenida </w:t>
      </w:r>
      <w:r w:rsidR="00D252E0">
        <w:rPr>
          <w:sz w:val="24"/>
          <w:szCs w:val="24"/>
        </w:rPr>
        <w:t>dicha aprobación</w:t>
      </w:r>
      <w:r w:rsidRPr="00797F43">
        <w:rPr>
          <w:sz w:val="24"/>
          <w:szCs w:val="24"/>
        </w:rPr>
        <w:t>, y al menos 6 meses antes del inicio de la etapa de construcción del Proyecto, se debe hacer el acercamiento a la Unidad Operativa de Control de Tránsito (“UOCT”), con la finalidad de presentar el alcance de los compromisos dentro de la tramitación ambiental del Proyecto. Se presentará un Estudio de Reprogramación de Semáforos, el cual debe incluir:</w:t>
      </w:r>
    </w:p>
    <w:p w:rsidR="00797F43" w:rsidRPr="00797F43" w:rsidRDefault="00797F43" w:rsidP="00797F43">
      <w:pPr>
        <w:pStyle w:val="Prrafodelista"/>
        <w:numPr>
          <w:ilvl w:val="0"/>
          <w:numId w:val="4"/>
        </w:numPr>
        <w:jc w:val="both"/>
        <w:rPr>
          <w:sz w:val="24"/>
          <w:szCs w:val="24"/>
        </w:rPr>
      </w:pPr>
      <w:r w:rsidRPr="00797F43">
        <w:rPr>
          <w:sz w:val="24"/>
          <w:szCs w:val="24"/>
        </w:rPr>
        <w:t xml:space="preserve">Mediciones de flujo vehicular en terreno (temporada normal y estival) en fase de construcción y operación del Proyecto. </w:t>
      </w:r>
    </w:p>
    <w:p w:rsidR="00797F43" w:rsidRPr="00797F43" w:rsidRDefault="00797F43" w:rsidP="00797F43">
      <w:pPr>
        <w:pStyle w:val="Prrafodelista"/>
        <w:numPr>
          <w:ilvl w:val="0"/>
          <w:numId w:val="4"/>
        </w:numPr>
        <w:jc w:val="both"/>
        <w:rPr>
          <w:sz w:val="24"/>
          <w:szCs w:val="24"/>
        </w:rPr>
      </w:pPr>
      <w:r w:rsidRPr="00797F43">
        <w:rPr>
          <w:sz w:val="24"/>
          <w:szCs w:val="24"/>
        </w:rPr>
        <w:t xml:space="preserve">Elaboración de un Estudio de reprogramación de redes </w:t>
      </w:r>
      <w:proofErr w:type="spellStart"/>
      <w:r w:rsidRPr="00797F43">
        <w:rPr>
          <w:sz w:val="24"/>
          <w:szCs w:val="24"/>
        </w:rPr>
        <w:t>semaforizadas</w:t>
      </w:r>
      <w:proofErr w:type="spellEnd"/>
      <w:r w:rsidRPr="00797F43">
        <w:rPr>
          <w:sz w:val="24"/>
          <w:szCs w:val="24"/>
        </w:rPr>
        <w:t xml:space="preserve"> para ser presentado a la UOCT. (Se aprobó mediante carta de 10 de noviembre de 2020)</w:t>
      </w:r>
    </w:p>
    <w:p w:rsidR="00797F43" w:rsidRPr="00797F43" w:rsidRDefault="00797F43" w:rsidP="00797F43">
      <w:pPr>
        <w:jc w:val="both"/>
        <w:rPr>
          <w:sz w:val="24"/>
          <w:szCs w:val="24"/>
        </w:rPr>
      </w:pPr>
      <w:r w:rsidRPr="00797F43">
        <w:rPr>
          <w:b/>
          <w:i/>
          <w:sz w:val="24"/>
          <w:szCs w:val="24"/>
        </w:rPr>
        <w:t>2. Labor de Sintonía Fina:</w:t>
      </w:r>
      <w:r w:rsidRPr="00797F43">
        <w:rPr>
          <w:sz w:val="24"/>
          <w:szCs w:val="24"/>
        </w:rPr>
        <w:t xml:space="preserve"> Luego una vez aprobado dicho estudio, se deben cargar las nuevas programaciones e implementar visita a terreno para realizar pequeños ajustes a cada semáforo en todos los horar</w:t>
      </w:r>
      <w:r>
        <w:rPr>
          <w:sz w:val="24"/>
          <w:szCs w:val="24"/>
        </w:rPr>
        <w:t>ios/días acordados con la UOCT.</w:t>
      </w:r>
    </w:p>
    <w:p w:rsidR="00797F43" w:rsidRPr="00797F43" w:rsidRDefault="00797F43" w:rsidP="00797F43">
      <w:pPr>
        <w:jc w:val="both"/>
        <w:rPr>
          <w:sz w:val="24"/>
          <w:szCs w:val="24"/>
        </w:rPr>
      </w:pPr>
      <w:r w:rsidRPr="00797F43">
        <w:rPr>
          <w:b/>
          <w:i/>
          <w:sz w:val="24"/>
          <w:szCs w:val="24"/>
        </w:rPr>
        <w:t>3. Resultados Sintonía Fina:</w:t>
      </w:r>
      <w:r w:rsidRPr="00797F43">
        <w:rPr>
          <w:sz w:val="24"/>
          <w:szCs w:val="24"/>
        </w:rPr>
        <w:t xml:space="preserve"> Luego, se presentará informe con los resultados de la Sintonía Final a la UOCT con la programación definitiva en cada </w:t>
      </w:r>
      <w:r>
        <w:rPr>
          <w:sz w:val="24"/>
          <w:szCs w:val="24"/>
        </w:rPr>
        <w:t xml:space="preserve">una de las redes </w:t>
      </w:r>
      <w:proofErr w:type="spellStart"/>
      <w:r>
        <w:rPr>
          <w:sz w:val="24"/>
          <w:szCs w:val="24"/>
        </w:rPr>
        <w:t>semaforizadas</w:t>
      </w:r>
      <w:proofErr w:type="spellEnd"/>
      <w:r>
        <w:rPr>
          <w:sz w:val="24"/>
          <w:szCs w:val="24"/>
        </w:rPr>
        <w:t>.</w:t>
      </w:r>
    </w:p>
    <w:p w:rsidR="00797F43" w:rsidRPr="00797F43" w:rsidRDefault="00797F43" w:rsidP="00797F43">
      <w:pPr>
        <w:jc w:val="both"/>
        <w:rPr>
          <w:sz w:val="24"/>
          <w:szCs w:val="24"/>
        </w:rPr>
      </w:pPr>
      <w:r w:rsidRPr="00797F43">
        <w:rPr>
          <w:sz w:val="24"/>
          <w:szCs w:val="24"/>
        </w:rPr>
        <w:t>La UOCT tomará un plazo para implementar la programación final y verificar su efectividad en la gestión de tránsito.</w:t>
      </w:r>
    </w:p>
    <w:p w:rsidR="00797F43" w:rsidRPr="00797F43" w:rsidRDefault="00797F43" w:rsidP="00797F43">
      <w:pPr>
        <w:jc w:val="both"/>
        <w:rPr>
          <w:sz w:val="24"/>
          <w:szCs w:val="24"/>
        </w:rPr>
      </w:pPr>
      <w:r w:rsidRPr="00797F43">
        <w:rPr>
          <w:b/>
          <w:i/>
          <w:sz w:val="24"/>
          <w:szCs w:val="24"/>
        </w:rPr>
        <w:lastRenderedPageBreak/>
        <w:t>4. Grabado de la Programación:</w:t>
      </w:r>
      <w:r w:rsidRPr="00797F43">
        <w:rPr>
          <w:sz w:val="24"/>
          <w:szCs w:val="24"/>
        </w:rPr>
        <w:t xml:space="preserve"> Una vez aprobado este último estudio, se considera el grabado de la programación en el controlador de cada semáforo, para su operatividad.</w:t>
      </w:r>
    </w:p>
    <w:p w:rsidR="00D739B6" w:rsidRPr="00797F43" w:rsidRDefault="00D252E0" w:rsidP="00797F43">
      <w:pPr>
        <w:jc w:val="both"/>
        <w:rPr>
          <w:sz w:val="24"/>
          <w:szCs w:val="24"/>
        </w:rPr>
      </w:pPr>
      <w:r>
        <w:rPr>
          <w:sz w:val="24"/>
          <w:szCs w:val="24"/>
        </w:rPr>
        <w:t xml:space="preserve">Todas las acciones descritas anteriormente se llevaron adelante desde otorgada la RCA, como se detalla en archivo Excel “Matriz punto 12.2 Semáforos”, dónde se establece el proceso de licitación de nuestro consultor y el contacto con los diversos organismos públicos relacionados, llevando adelante dichos estudios y acciones en terrena, las cuales a </w:t>
      </w:r>
      <w:proofErr w:type="spellStart"/>
      <w:r>
        <w:rPr>
          <w:sz w:val="24"/>
          <w:szCs w:val="24"/>
        </w:rPr>
        <w:t>al</w:t>
      </w:r>
      <w:proofErr w:type="spellEnd"/>
      <w:r>
        <w:rPr>
          <w:sz w:val="24"/>
          <w:szCs w:val="24"/>
        </w:rPr>
        <w:t xml:space="preserve"> fecha (15.06) se encuentran finalizadas y solo a la espera de la aprobación final de la UOCT, con dicha aprobación se finalizan los compromisos asociados a la etapa de construcción, quedando solamente los relacionados a la</w:t>
      </w:r>
      <w:bookmarkStart w:id="0" w:name="_GoBack"/>
      <w:bookmarkEnd w:id="0"/>
      <w:r>
        <w:rPr>
          <w:sz w:val="24"/>
          <w:szCs w:val="24"/>
        </w:rPr>
        <w:t xml:space="preserve"> etapa de operación.</w:t>
      </w:r>
    </w:p>
    <w:sectPr w:rsidR="00D739B6" w:rsidRPr="00797F43">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874" w:rsidRDefault="00F84874" w:rsidP="00261BE7">
      <w:pPr>
        <w:spacing w:after="0" w:line="240" w:lineRule="auto"/>
      </w:pPr>
      <w:r>
        <w:separator/>
      </w:r>
    </w:p>
  </w:endnote>
  <w:endnote w:type="continuationSeparator" w:id="0">
    <w:p w:rsidR="00F84874" w:rsidRDefault="00F84874" w:rsidP="00261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874" w:rsidRDefault="00F84874" w:rsidP="00261BE7">
      <w:pPr>
        <w:spacing w:after="0" w:line="240" w:lineRule="auto"/>
      </w:pPr>
      <w:r>
        <w:separator/>
      </w:r>
    </w:p>
  </w:footnote>
  <w:footnote w:type="continuationSeparator" w:id="0">
    <w:p w:rsidR="00F84874" w:rsidRDefault="00F84874" w:rsidP="00261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BE7" w:rsidRDefault="00261BE7" w:rsidP="00261BE7">
    <w:pPr>
      <w:pStyle w:val="Encabezado"/>
      <w:jc w:val="right"/>
    </w:pPr>
    <w:r>
      <w:rPr>
        <w:noProof/>
        <w:lang w:eastAsia="es-CL"/>
      </w:rPr>
      <w:drawing>
        <wp:inline distT="0" distB="0" distL="0" distR="0" wp14:anchorId="414BF2E3">
          <wp:extent cx="1190625" cy="555682"/>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56" cy="56041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06A20"/>
    <w:multiLevelType w:val="hybridMultilevel"/>
    <w:tmpl w:val="22AEC388"/>
    <w:lvl w:ilvl="0" w:tplc="8DCEB32C">
      <w:start w:val="505"/>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067DEE"/>
    <w:multiLevelType w:val="hybridMultilevel"/>
    <w:tmpl w:val="CBEA78C4"/>
    <w:lvl w:ilvl="0" w:tplc="8ECC93C8">
      <w:start w:val="3"/>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98C7241"/>
    <w:multiLevelType w:val="hybridMultilevel"/>
    <w:tmpl w:val="02A00624"/>
    <w:lvl w:ilvl="0" w:tplc="8B1E9CEE">
      <w:numFmt w:val="bullet"/>
      <w:lvlText w:val=""/>
      <w:lvlJc w:val="left"/>
      <w:pPr>
        <w:ind w:left="1068" w:hanging="708"/>
      </w:pPr>
      <w:rPr>
        <w:rFonts w:ascii="Symbol" w:eastAsiaTheme="minorHAnsi" w:hAnsi="Symbo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B9C4737"/>
    <w:multiLevelType w:val="hybridMultilevel"/>
    <w:tmpl w:val="918666C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BE7"/>
    <w:rsid w:val="00016EA6"/>
    <w:rsid w:val="0004762A"/>
    <w:rsid w:val="000B0B14"/>
    <w:rsid w:val="00136BC5"/>
    <w:rsid w:val="00170638"/>
    <w:rsid w:val="00190672"/>
    <w:rsid w:val="00221AF0"/>
    <w:rsid w:val="0025453C"/>
    <w:rsid w:val="00261BE7"/>
    <w:rsid w:val="0027739B"/>
    <w:rsid w:val="0028015B"/>
    <w:rsid w:val="004919E2"/>
    <w:rsid w:val="006E4A7B"/>
    <w:rsid w:val="00723FF6"/>
    <w:rsid w:val="00797F43"/>
    <w:rsid w:val="008203EC"/>
    <w:rsid w:val="00921284"/>
    <w:rsid w:val="0097218A"/>
    <w:rsid w:val="009A3B65"/>
    <w:rsid w:val="00AC4738"/>
    <w:rsid w:val="00B05913"/>
    <w:rsid w:val="00B403C0"/>
    <w:rsid w:val="00B83F4C"/>
    <w:rsid w:val="00CA1EE8"/>
    <w:rsid w:val="00D01FC2"/>
    <w:rsid w:val="00D252E0"/>
    <w:rsid w:val="00D739B6"/>
    <w:rsid w:val="00E44D4B"/>
    <w:rsid w:val="00EB3836"/>
    <w:rsid w:val="00F8487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A01416-0392-4C1C-921A-CD87A740D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1B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1BE7"/>
  </w:style>
  <w:style w:type="paragraph" w:styleId="Piedepgina">
    <w:name w:val="footer"/>
    <w:basedOn w:val="Normal"/>
    <w:link w:val="PiedepginaCar"/>
    <w:uiPriority w:val="99"/>
    <w:unhideWhenUsed/>
    <w:rsid w:val="00261B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1BE7"/>
  </w:style>
  <w:style w:type="paragraph" w:styleId="Prrafodelista">
    <w:name w:val="List Paragraph"/>
    <w:basedOn w:val="Normal"/>
    <w:uiPriority w:val="34"/>
    <w:qFormat/>
    <w:rsid w:val="00B83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13159">
      <w:bodyDiv w:val="1"/>
      <w:marLeft w:val="0"/>
      <w:marRight w:val="0"/>
      <w:marTop w:val="0"/>
      <w:marBottom w:val="0"/>
      <w:divBdr>
        <w:top w:val="none" w:sz="0" w:space="0" w:color="auto"/>
        <w:left w:val="none" w:sz="0" w:space="0" w:color="auto"/>
        <w:bottom w:val="none" w:sz="0" w:space="0" w:color="auto"/>
        <w:right w:val="none" w:sz="0" w:space="0" w:color="auto"/>
      </w:divBdr>
    </w:div>
    <w:div w:id="120902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562</Words>
  <Characters>3093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Contreras Richard</dc:creator>
  <cp:keywords/>
  <dc:description/>
  <cp:lastModifiedBy>Guzmán Marcelo (TPC)</cp:lastModifiedBy>
  <cp:revision>4</cp:revision>
  <dcterms:created xsi:type="dcterms:W3CDTF">2021-06-15T15:53:00Z</dcterms:created>
  <dcterms:modified xsi:type="dcterms:W3CDTF">2021-06-16T20:43:00Z</dcterms:modified>
</cp:coreProperties>
</file>